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rPr>
          <w:rFonts w:ascii="Microsoft JhengHei" w:hAnsi="Microsoft JhengHei" w:eastAsia="Microsoft JhengHei"/>
          <w:b/>
          <w:bCs/>
          <w:sz w:val="28"/>
          <w:szCs w:val="28"/>
        </w:rPr>
      </w:pPr>
      <w:r>
        <w:rPr>
          <w:rFonts w:ascii="Microsoft JhengHei" w:hAnsi="Microsoft JhengHei" w:eastAsia="Microsoft JhengHe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-148590</wp:posOffset>
            </wp:positionV>
            <wp:extent cx="2127250" cy="775970"/>
            <wp:effectExtent l="0" t="0" r="6350" b="5080"/>
            <wp:wrapSquare wrapText="bothSides"/>
            <wp:docPr id="1" name="圖片 1" descr="C:\Users\user\Desktop\新LOGO簽名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C:\Users\user\Desktop\新LOGO簽名檔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Microsoft JhengHei" w:hAnsi="Microsoft JhengHei" w:eastAsia="Microsoft JhengHei"/>
          <w:b/>
          <w:bCs/>
          <w:sz w:val="28"/>
          <w:szCs w:val="28"/>
        </w:rPr>
        <w:t xml:space="preserve">         </w:t>
      </w:r>
    </w:p>
    <w:p>
      <w:pPr>
        <w:snapToGrid w:val="0"/>
        <w:spacing w:line="360" w:lineRule="exact"/>
        <w:rPr>
          <w:rFonts w:ascii="Microsoft JhengHei" w:hAnsi="Microsoft JhengHei" w:eastAsia="Microsoft JhengHei"/>
          <w:b/>
          <w:bCs/>
          <w:sz w:val="28"/>
          <w:szCs w:val="28"/>
        </w:rPr>
      </w:pPr>
    </w:p>
    <w:p>
      <w:pPr>
        <w:snapToGrid w:val="0"/>
        <w:spacing w:line="360" w:lineRule="exact"/>
        <w:rPr>
          <w:rFonts w:ascii="Microsoft JhengHei" w:hAnsi="Microsoft JhengHei" w:eastAsia="Microsoft JhengHei"/>
          <w:b/>
          <w:bCs/>
          <w:sz w:val="28"/>
          <w:szCs w:val="28"/>
        </w:rPr>
      </w:pPr>
    </w:p>
    <w:p>
      <w:pPr>
        <w:snapToGrid w:val="0"/>
        <w:spacing w:line="360" w:lineRule="exact"/>
        <w:rPr>
          <w:rFonts w:ascii="Microsoft JhengHei" w:hAnsi="Microsoft JhengHei" w:eastAsia="Microsoft JhengHei"/>
          <w:b/>
          <w:bCs/>
          <w:sz w:val="30"/>
          <w:szCs w:val="30"/>
        </w:rPr>
      </w:pPr>
    </w:p>
    <w:p>
      <w:pPr>
        <w:snapToGrid w:val="0"/>
        <w:spacing w:line="360" w:lineRule="exact"/>
        <w:rPr>
          <w:rFonts w:ascii="Microsoft JhengHei" w:hAnsi="Microsoft JhengHei" w:eastAsia="Microsoft JhengHei"/>
          <w:b/>
          <w:bCs/>
          <w:sz w:val="30"/>
          <w:szCs w:val="30"/>
        </w:rPr>
      </w:pPr>
      <w:r>
        <w:rPr>
          <w:rFonts w:ascii="Microsoft JhengHei" w:hAnsi="Microsoft JhengHei" w:eastAsia="Microsoft JhengHei"/>
          <w:b/>
          <w:bCs/>
          <w:sz w:val="30"/>
          <w:szCs w:val="30"/>
        </w:rPr>
        <w:t>東航</w:t>
      </w:r>
      <w:r>
        <w:rPr>
          <w:rFonts w:hint="eastAsia" w:ascii="Microsoft JhengHei" w:hAnsi="Microsoft JhengHei" w:eastAsia="Microsoft JhengHei"/>
          <w:b/>
          <w:bCs/>
          <w:sz w:val="30"/>
          <w:szCs w:val="30"/>
        </w:rPr>
        <w:t xml:space="preserve"> 台灣地區</w:t>
      </w:r>
      <w:r>
        <w:rPr>
          <w:rFonts w:ascii="Microsoft JhengHei" w:hAnsi="Microsoft JhengHei" w:eastAsia="Microsoft JhengHei"/>
          <w:b/>
          <w:bCs/>
          <w:sz w:val="30"/>
          <w:szCs w:val="30"/>
        </w:rPr>
        <w:t>“增值服務”產品操作細則</w:t>
      </w:r>
    </w:p>
    <w:p>
      <w:pPr>
        <w:snapToGrid w:val="0"/>
        <w:spacing w:line="360" w:lineRule="exact"/>
        <w:rPr>
          <w:rFonts w:ascii="Microsoft JhengHei" w:hAnsi="Microsoft JhengHei" w:eastAsia="Microsoft JhengHei"/>
          <w:szCs w:val="24"/>
        </w:rPr>
      </w:pPr>
      <w:r>
        <w:rPr>
          <w:rFonts w:hint="eastAsia" w:ascii="Microsoft JhengHei" w:hAnsi="Microsoft JhengHei" w:eastAsia="Microsoft JhengHei"/>
          <w:szCs w:val="24"/>
        </w:rPr>
        <w:t>開票日期：20</w:t>
      </w:r>
      <w:r>
        <w:rPr>
          <w:rFonts w:ascii="Microsoft JhengHei" w:hAnsi="Microsoft JhengHei" w:eastAsia="Microsoft JhengHei"/>
          <w:szCs w:val="24"/>
        </w:rPr>
        <w:t>20</w:t>
      </w:r>
      <w:r>
        <w:rPr>
          <w:rFonts w:hint="eastAsia" w:ascii="Microsoft JhengHei" w:hAnsi="Microsoft JhengHei" w:eastAsia="Microsoft JhengHei"/>
          <w:szCs w:val="24"/>
        </w:rPr>
        <w:t>年01月01至2020年03月31日；旅行日期：20</w:t>
      </w:r>
      <w:r>
        <w:rPr>
          <w:rFonts w:ascii="Microsoft JhengHei" w:hAnsi="Microsoft JhengHei" w:eastAsia="Microsoft JhengHei"/>
          <w:szCs w:val="24"/>
        </w:rPr>
        <w:t>20</w:t>
      </w:r>
      <w:r>
        <w:rPr>
          <w:rFonts w:hint="eastAsia" w:ascii="Microsoft JhengHei" w:hAnsi="Microsoft JhengHei" w:eastAsia="Microsoft JhengHei"/>
          <w:szCs w:val="24"/>
        </w:rPr>
        <w:t xml:space="preserve">年01月01至2020年10月31日(含) </w:t>
      </w:r>
    </w:p>
    <w:p>
      <w:pPr>
        <w:snapToGrid w:val="0"/>
        <w:spacing w:line="360" w:lineRule="exact"/>
        <w:rPr>
          <w:rFonts w:ascii="Microsoft JhengHei" w:hAnsi="Microsoft JhengHei" w:eastAsia="Microsoft JhengHei"/>
        </w:rPr>
      </w:pPr>
      <w:r>
        <w:rPr>
          <w:rFonts w:hint="eastAsia" w:ascii="Microsoft JhengHei" w:hAnsi="Microsoft JhengHei" w:eastAsia="Microsoft JhengHei"/>
          <w:highlight w:val="yellow"/>
        </w:rPr>
        <w:t>【</w:t>
      </w:r>
      <w:r>
        <w:rPr>
          <w:rFonts w:ascii="Microsoft JhengHei" w:hAnsi="Microsoft JhengHei" w:eastAsia="Microsoft JhengHei"/>
          <w:highlight w:val="yellow"/>
        </w:rPr>
        <w:t>2020</w:t>
      </w:r>
      <w:r>
        <w:rPr>
          <w:rFonts w:hint="eastAsia" w:ascii="Microsoft JhengHei" w:hAnsi="Microsoft JhengHei" w:eastAsia="Microsoft JhengHei"/>
          <w:highlight w:val="yellow"/>
        </w:rPr>
        <w:t>年</w:t>
      </w:r>
      <w:r>
        <w:rPr>
          <w:rFonts w:ascii="Microsoft JhengHei" w:hAnsi="Microsoft JhengHei" w:eastAsia="Microsoft JhengHei"/>
          <w:highlight w:val="yellow"/>
        </w:rPr>
        <w:t>1</w:t>
      </w:r>
      <w:r>
        <w:rPr>
          <w:rFonts w:hint="eastAsia" w:ascii="Microsoft JhengHei" w:hAnsi="Microsoft JhengHei" w:eastAsia="Microsoft JhengHei"/>
          <w:highlight w:val="yellow"/>
        </w:rPr>
        <w:t>月</w:t>
      </w:r>
      <w:r>
        <w:rPr>
          <w:rFonts w:ascii="Microsoft JhengHei" w:hAnsi="Microsoft JhengHei" w:eastAsia="Microsoft JhengHei"/>
          <w:highlight w:val="yellow"/>
        </w:rPr>
        <w:t>21</w:t>
      </w:r>
      <w:r>
        <w:rPr>
          <w:rFonts w:hint="eastAsia" w:ascii="Microsoft JhengHei" w:hAnsi="Microsoft JhengHei" w:eastAsia="Microsoft JhengHei"/>
          <w:highlight w:val="yellow"/>
        </w:rPr>
        <w:t>日</w:t>
      </w:r>
      <w:r>
        <w:rPr>
          <w:rFonts w:ascii="Microsoft JhengHei" w:hAnsi="Microsoft JhengHei" w:eastAsia="Microsoft JhengHei"/>
          <w:highlight w:val="yellow"/>
        </w:rPr>
        <w:t>-2</w:t>
      </w:r>
      <w:r>
        <w:rPr>
          <w:rFonts w:hint="eastAsia" w:ascii="Microsoft JhengHei" w:hAnsi="Microsoft JhengHei" w:eastAsia="Microsoft JhengHei"/>
          <w:highlight w:val="yellow"/>
        </w:rPr>
        <w:t>月</w:t>
      </w:r>
      <w:r>
        <w:rPr>
          <w:rFonts w:ascii="Microsoft JhengHei" w:hAnsi="Microsoft JhengHei" w:eastAsia="Microsoft JhengHei"/>
          <w:highlight w:val="yellow"/>
        </w:rPr>
        <w:t>3</w:t>
      </w:r>
      <w:r>
        <w:rPr>
          <w:rFonts w:hint="eastAsia" w:ascii="Microsoft JhengHei" w:hAnsi="Microsoft JhengHei" w:eastAsia="Microsoft JhengHei"/>
          <w:highlight w:val="yellow"/>
        </w:rPr>
        <w:t>日、</w:t>
      </w:r>
      <w:r>
        <w:rPr>
          <w:rFonts w:ascii="Microsoft JhengHei" w:hAnsi="Microsoft JhengHei" w:eastAsia="Microsoft JhengHei"/>
          <w:highlight w:val="yellow"/>
        </w:rPr>
        <w:t>9</w:t>
      </w:r>
      <w:r>
        <w:rPr>
          <w:rFonts w:hint="eastAsia" w:ascii="Microsoft JhengHei" w:hAnsi="Microsoft JhengHei" w:eastAsia="Microsoft JhengHei"/>
          <w:highlight w:val="yellow"/>
        </w:rPr>
        <w:t>月</w:t>
      </w:r>
      <w:r>
        <w:rPr>
          <w:rFonts w:ascii="Microsoft JhengHei" w:hAnsi="Microsoft JhengHei" w:eastAsia="Microsoft JhengHei"/>
          <w:highlight w:val="yellow"/>
        </w:rPr>
        <w:t>28</w:t>
      </w:r>
      <w:r>
        <w:rPr>
          <w:rFonts w:hint="eastAsia" w:ascii="Microsoft JhengHei" w:hAnsi="Microsoft JhengHei" w:eastAsia="Microsoft JhengHei"/>
          <w:highlight w:val="yellow"/>
        </w:rPr>
        <w:t>日</w:t>
      </w:r>
      <w:r>
        <w:rPr>
          <w:rFonts w:ascii="Microsoft JhengHei" w:hAnsi="Microsoft JhengHei" w:eastAsia="Microsoft JhengHei"/>
          <w:highlight w:val="yellow"/>
        </w:rPr>
        <w:t>-10</w:t>
      </w:r>
      <w:r>
        <w:rPr>
          <w:rFonts w:hint="eastAsia" w:ascii="Microsoft JhengHei" w:hAnsi="Microsoft JhengHei" w:eastAsia="Microsoft JhengHei"/>
          <w:highlight w:val="yellow"/>
        </w:rPr>
        <w:t>月</w:t>
      </w:r>
      <w:r>
        <w:rPr>
          <w:rFonts w:ascii="Microsoft JhengHei" w:hAnsi="Microsoft JhengHei" w:eastAsia="Microsoft JhengHei"/>
          <w:highlight w:val="yellow"/>
        </w:rPr>
        <w:t>8</w:t>
      </w:r>
      <w:r>
        <w:rPr>
          <w:rFonts w:hint="eastAsia" w:ascii="Microsoft JhengHei" w:hAnsi="Microsoft JhengHei" w:eastAsia="Microsoft JhengHei"/>
          <w:highlight w:val="yellow"/>
        </w:rPr>
        <w:t>日不適用，以航程第一航段旅行始發日期為准】</w:t>
      </w:r>
    </w:p>
    <w:p>
      <w:pPr>
        <w:snapToGrid w:val="0"/>
        <w:spacing w:line="360" w:lineRule="exact"/>
        <w:rPr>
          <w:rFonts w:ascii="Microsoft JhengHei" w:hAnsi="Microsoft JhengHei" w:eastAsia="Microsoft JhengHei"/>
          <w:bCs/>
          <w:szCs w:val="24"/>
        </w:rPr>
      </w:pPr>
      <w:r>
        <w:rPr>
          <w:rFonts w:ascii="Microsoft JhengHei" w:hAnsi="Microsoft JhengHei" w:eastAsia="Microsoft JhengHei"/>
          <w:bCs/>
          <w:szCs w:val="24"/>
        </w:rPr>
        <w:t>*</w:t>
      </w:r>
      <w:r>
        <w:rPr>
          <w:rFonts w:hint="eastAsia" w:ascii="Microsoft JhengHei" w:hAnsi="Microsoft JhengHei" w:eastAsia="Microsoft JhengHei"/>
          <w:bCs/>
          <w:szCs w:val="24"/>
          <w:highlight w:val="yellow"/>
        </w:rPr>
        <w:t>2020年4月1日(含)</w:t>
      </w:r>
      <w:r>
        <w:rPr>
          <w:rFonts w:hint="eastAsia" w:ascii="Microsoft JhengHei" w:hAnsi="Microsoft JhengHei" w:eastAsia="Microsoft JhengHei"/>
          <w:bCs/>
          <w:szCs w:val="24"/>
        </w:rPr>
        <w:t>以後購票將不再提供鐘點房、餐券、磁懸浮列車券之預訂。</w:t>
      </w:r>
    </w:p>
    <w:p>
      <w:pPr>
        <w:pStyle w:val="9"/>
        <w:numPr>
          <w:ilvl w:val="0"/>
          <w:numId w:val="1"/>
        </w:numPr>
        <w:snapToGrid w:val="0"/>
        <w:spacing w:line="360" w:lineRule="exact"/>
        <w:ind w:leftChars="0"/>
        <w:rPr>
          <w:rFonts w:ascii="Microsoft JhengHei" w:hAnsi="Microsoft JhengHei" w:eastAsia="Microsoft JhengHei" w:cs="PMingLiU"/>
          <w:b/>
          <w:kern w:val="0"/>
          <w:sz w:val="28"/>
          <w:szCs w:val="28"/>
        </w:rPr>
      </w:pPr>
      <w:r>
        <w:rPr>
          <w:rFonts w:hint="eastAsia" w:ascii="Microsoft JhengHei" w:hAnsi="Microsoft JhengHei" w:eastAsia="Microsoft JhengHei" w:cs="PMingLiU"/>
          <w:b/>
          <w:kern w:val="0"/>
          <w:sz w:val="28"/>
          <w:szCs w:val="28"/>
        </w:rPr>
        <w:t>產品內容</w:t>
      </w:r>
    </w:p>
    <w:p>
      <w:pPr>
        <w:pStyle w:val="9"/>
        <w:numPr>
          <w:ilvl w:val="0"/>
          <w:numId w:val="2"/>
        </w:numPr>
        <w:snapToGrid w:val="0"/>
        <w:spacing w:line="360" w:lineRule="exact"/>
        <w:ind w:leftChars="0"/>
        <w:rPr>
          <w:rFonts w:ascii="Microsoft JhengHei" w:hAnsi="Microsoft JhengHei" w:eastAsia="Microsoft JhengHei" w:cs="PMingLiU"/>
          <w:kern w:val="0"/>
        </w:rPr>
      </w:pPr>
      <w:r>
        <w:rPr>
          <w:rFonts w:hint="eastAsia" w:ascii="Microsoft JhengHei" w:hAnsi="Microsoft JhengHei" w:eastAsia="Microsoft JhengHei" w:cs="PMingLiU"/>
          <w:kern w:val="0"/>
        </w:rPr>
        <w:t>增值服務產品</w:t>
      </w:r>
      <w:r>
        <w:rPr>
          <w:rFonts w:hint="eastAsia" w:ascii="宋体" w:hAnsi="宋体" w:eastAsia="宋体" w:cs="PMingLiU"/>
          <w:kern w:val="0"/>
          <w:lang w:eastAsia="zh-CN"/>
        </w:rPr>
        <w:t>：</w:t>
      </w:r>
    </w:p>
    <w:p>
      <w:pPr>
        <w:pStyle w:val="9"/>
        <w:numPr>
          <w:ilvl w:val="1"/>
          <w:numId w:val="3"/>
        </w:numPr>
        <w:snapToGrid w:val="0"/>
        <w:spacing w:line="360" w:lineRule="exact"/>
        <w:ind w:leftChars="0"/>
        <w:rPr>
          <w:rFonts w:ascii="Microsoft JhengHei" w:hAnsi="Microsoft JhengHei" w:eastAsia="Microsoft JhengHei" w:cs="PMingLiU"/>
          <w:kern w:val="0"/>
        </w:rPr>
      </w:pPr>
      <w:r>
        <w:rPr>
          <w:rFonts w:hint="eastAsia" w:ascii="Microsoft JhengHei" w:hAnsi="Microsoft JhengHei" w:eastAsia="Microsoft JhengHei" w:cs="PMingLiU"/>
          <w:kern w:val="0"/>
        </w:rPr>
        <w:t>上海增值服務產品: 餐劵(40元、80元)、磁懸浮列車劵、鐘點房</w:t>
      </w:r>
    </w:p>
    <w:p>
      <w:pPr>
        <w:pStyle w:val="9"/>
        <w:numPr>
          <w:ilvl w:val="1"/>
          <w:numId w:val="3"/>
        </w:numPr>
        <w:snapToGrid w:val="0"/>
        <w:spacing w:line="360" w:lineRule="exact"/>
        <w:ind w:leftChars="0"/>
        <w:rPr>
          <w:rFonts w:ascii="Microsoft JhengHei" w:hAnsi="Microsoft JhengHei" w:eastAsia="Microsoft JhengHei" w:cs="PMingLiU"/>
          <w:kern w:val="0"/>
        </w:rPr>
      </w:pPr>
      <w:r>
        <w:rPr>
          <w:rFonts w:hint="eastAsia" w:ascii="Microsoft JhengHei" w:hAnsi="Microsoft JhengHei" w:eastAsia="Microsoft JhengHei" w:cs="PMingLiU"/>
          <w:kern w:val="0"/>
        </w:rPr>
        <w:t xml:space="preserve">西安增值服務產品: </w:t>
      </w:r>
      <w:r>
        <w:rPr>
          <w:rFonts w:hint="eastAsia" w:ascii="Microsoft JhengHei" w:hAnsi="Microsoft JhengHei" w:eastAsia="Microsoft JhengHei"/>
          <w:bCs/>
        </w:rPr>
        <w:t>餐劵</w:t>
      </w:r>
      <w:r>
        <w:rPr>
          <w:rFonts w:hint="eastAsia" w:ascii="Microsoft JhengHei" w:hAnsi="Microsoft JhengHei" w:eastAsia="Microsoft JhengHei" w:cs="PMingLiU"/>
          <w:kern w:val="0"/>
        </w:rPr>
        <w:t>、鐘點房</w:t>
      </w:r>
    </w:p>
    <w:p>
      <w:pPr>
        <w:pStyle w:val="9"/>
        <w:numPr>
          <w:ilvl w:val="0"/>
          <w:numId w:val="1"/>
        </w:numPr>
        <w:snapToGrid w:val="0"/>
        <w:spacing w:line="360" w:lineRule="exact"/>
        <w:ind w:leftChars="0"/>
        <w:rPr>
          <w:rFonts w:ascii="Microsoft JhengHei" w:hAnsi="Microsoft JhengHei" w:eastAsia="宋体"/>
          <w:b/>
          <w:bCs/>
          <w:sz w:val="28"/>
          <w:szCs w:val="28"/>
          <w:lang w:eastAsia="zh-CN"/>
        </w:rPr>
      </w:pPr>
      <w:r>
        <w:rPr>
          <w:rFonts w:hint="eastAsia" w:ascii="Microsoft JhengHei" w:hAnsi="Microsoft JhengHei" w:eastAsia="Microsoft JhengHei" w:cs="PMingLiU"/>
          <w:b/>
          <w:kern w:val="0"/>
          <w:sz w:val="28"/>
          <w:szCs w:val="28"/>
        </w:rPr>
        <w:t>申請事項</w:t>
      </w:r>
    </w:p>
    <w:p>
      <w:pPr>
        <w:pStyle w:val="9"/>
        <w:numPr>
          <w:ilvl w:val="0"/>
          <w:numId w:val="4"/>
        </w:numPr>
        <w:snapToGrid w:val="0"/>
        <w:spacing w:line="360" w:lineRule="exact"/>
        <w:ind w:leftChars="0"/>
        <w:rPr>
          <w:rFonts w:ascii="Microsoft JhengHei" w:hAnsi="Microsoft JhengHei" w:eastAsia="宋体"/>
          <w:bCs/>
          <w:szCs w:val="24"/>
        </w:rPr>
      </w:pPr>
      <w:r>
        <w:rPr>
          <w:rFonts w:hint="eastAsia" w:ascii="Microsoft JhengHei" w:hAnsi="Microsoft JhengHei" w:eastAsia="Microsoft JhengHei" w:cs="PMingLiU"/>
          <w:kern w:val="0"/>
        </w:rPr>
        <w:t>台灣始發，全程東上航航班號且實際承運，代碼共享航班不適用。</w:t>
      </w:r>
    </w:p>
    <w:p>
      <w:pPr>
        <w:pStyle w:val="9"/>
        <w:numPr>
          <w:ilvl w:val="0"/>
          <w:numId w:val="4"/>
        </w:numPr>
        <w:snapToGrid w:val="0"/>
        <w:spacing w:line="360" w:lineRule="exact"/>
        <w:ind w:leftChars="0"/>
        <w:rPr>
          <w:rFonts w:ascii="Microsoft JhengHei" w:hAnsi="Microsoft JhengHei" w:eastAsia="Microsoft JhengHei" w:cs="PMingLiU"/>
          <w:kern w:val="0"/>
        </w:rPr>
      </w:pPr>
      <w:r>
        <w:rPr>
          <w:rFonts w:hint="eastAsia" w:ascii="Microsoft JhengHei" w:hAnsi="Microsoft JhengHei" w:eastAsia="Microsoft JhengHei" w:cs="PMingLiU"/>
          <w:kern w:val="0"/>
        </w:rPr>
        <w:t>產品適用如下操作細則說明，單程、缺口程、來回程航班適用。</w:t>
      </w:r>
    </w:p>
    <w:p>
      <w:pPr>
        <w:pStyle w:val="9"/>
        <w:numPr>
          <w:ilvl w:val="0"/>
          <w:numId w:val="4"/>
        </w:numPr>
        <w:snapToGrid w:val="0"/>
        <w:spacing w:line="360" w:lineRule="exact"/>
        <w:ind w:leftChars="0"/>
        <w:rPr>
          <w:rFonts w:ascii="Microsoft JhengHei" w:hAnsi="Microsoft JhengHei" w:eastAsia="宋体"/>
          <w:bCs/>
          <w:szCs w:val="24"/>
        </w:rPr>
      </w:pPr>
      <w:r>
        <w:rPr>
          <w:rFonts w:hint="eastAsia" w:ascii="Microsoft JhengHei" w:hAnsi="Microsoft JhengHei" w:eastAsia="Microsoft JhengHei" w:cs="PMingLiU"/>
          <w:kern w:val="0"/>
        </w:rPr>
        <w:t>增值服務須於</w:t>
      </w:r>
      <w:r>
        <w:rPr>
          <w:rFonts w:hint="eastAsia" w:ascii="Microsoft JhengHei" w:hAnsi="Microsoft JhengHei" w:eastAsia="Microsoft JhengHei" w:cs="PMingLiU"/>
          <w:color w:val="FF0000"/>
          <w:kern w:val="0"/>
        </w:rPr>
        <w:t>台灣始發航班前48小時</w:t>
      </w:r>
      <w:r>
        <w:rPr>
          <w:rFonts w:hint="eastAsia" w:ascii="Microsoft JhengHei" w:hAnsi="Microsoft JhengHei" w:eastAsia="Microsoft JhengHei" w:cs="PMingLiU"/>
          <w:kern w:val="0"/>
        </w:rPr>
        <w:t>申請，如旅客航班為48小時內出發之行程，東航一律不提供，亦不受理此增值服務之申請。</w:t>
      </w:r>
    </w:p>
    <w:p>
      <w:pPr>
        <w:tabs>
          <w:tab w:val="left" w:pos="6390"/>
        </w:tabs>
        <w:snapToGrid w:val="0"/>
        <w:spacing w:line="360" w:lineRule="exact"/>
        <w:rPr>
          <w:rFonts w:ascii="Microsoft JhengHei" w:hAnsi="Microsoft JhengHei" w:eastAsia="Microsoft JhengHei" w:cs="PMingLiU"/>
          <w:kern w:val="0"/>
        </w:rPr>
      </w:pPr>
      <w:r>
        <w:rPr>
          <w:rFonts w:ascii="Microsoft JhengHei" w:hAnsi="Microsoft JhengHei" w:eastAsia="Microsoft JhengHei" w:cs="PMingLiU"/>
          <w:kern w:val="0"/>
        </w:rPr>
        <w:t>E</w:t>
      </w:r>
      <w:r>
        <w:rPr>
          <w:rFonts w:hint="eastAsia" w:ascii="Microsoft JhengHei" w:hAnsi="Microsoft JhengHei" w:eastAsia="Microsoft JhengHei" w:cs="PMingLiU"/>
          <w:kern w:val="0"/>
        </w:rPr>
        <w:t>x: 旅行日01月11日~01月15日，最晚01月9日提出預訂。若於航班起飛48小時內申請</w:t>
      </w:r>
      <w:r>
        <w:rPr>
          <w:rFonts w:hint="eastAsia" w:ascii="Microsoft JhengHei" w:hAnsi="Microsoft JhengHei" w:eastAsia="Microsoft JhengHei" w:cs="PMingLiU"/>
          <w:color w:val="FF0000"/>
          <w:kern w:val="0"/>
        </w:rPr>
        <w:t>增值服務將不受理</w:t>
      </w:r>
      <w:r>
        <w:rPr>
          <w:rFonts w:hint="eastAsia" w:ascii="Microsoft JhengHei" w:hAnsi="Microsoft JhengHei" w:eastAsia="Microsoft JhengHei" w:cs="PMingLiU"/>
          <w:kern w:val="0"/>
        </w:rPr>
        <w:t>。</w:t>
      </w:r>
      <w:r>
        <w:rPr>
          <w:rFonts w:ascii="Microsoft JhengHei" w:hAnsi="Microsoft JhengHei" w:eastAsia="Microsoft JhengHei" w:cs="PMingLiU"/>
          <w:kern w:val="0"/>
        </w:rPr>
        <w:tab/>
      </w:r>
    </w:p>
    <w:p>
      <w:pPr>
        <w:pStyle w:val="9"/>
        <w:numPr>
          <w:ilvl w:val="0"/>
          <w:numId w:val="4"/>
        </w:numPr>
        <w:snapToGrid w:val="0"/>
        <w:spacing w:line="360" w:lineRule="exact"/>
        <w:ind w:leftChars="0"/>
        <w:rPr>
          <w:rFonts w:ascii="Microsoft JhengHei" w:hAnsi="Microsoft JhengHei" w:eastAsia="Microsoft JhengHei" w:cs="PMingLiU"/>
          <w:kern w:val="0"/>
        </w:rPr>
      </w:pPr>
      <w:r>
        <w:rPr>
          <w:rFonts w:hint="eastAsia" w:ascii="Microsoft JhengHei" w:hAnsi="Microsoft JhengHei" w:eastAsia="Microsoft JhengHei" w:cs="PMingLiU"/>
          <w:kern w:val="0"/>
        </w:rPr>
        <w:t>回程段若改行程則需</w:t>
      </w:r>
      <w:r>
        <w:rPr>
          <w:rFonts w:hint="eastAsia" w:ascii="Microsoft JhengHei" w:hAnsi="Microsoft JhengHei" w:eastAsia="Microsoft JhengHei" w:cs="PMingLiU"/>
          <w:color w:val="FF0000"/>
          <w:kern w:val="0"/>
        </w:rPr>
        <w:t>72小時</w:t>
      </w:r>
      <w:r>
        <w:rPr>
          <w:rFonts w:hint="eastAsia" w:ascii="Microsoft JhengHei" w:hAnsi="Microsoft JhengHei" w:eastAsia="Microsoft JhengHei" w:cs="PMingLiU"/>
          <w:kern w:val="0"/>
        </w:rPr>
        <w:t>前通知台灣呼叫中心更改。</w:t>
      </w:r>
    </w:p>
    <w:p>
      <w:pPr>
        <w:pStyle w:val="9"/>
        <w:numPr>
          <w:ilvl w:val="0"/>
          <w:numId w:val="1"/>
        </w:numPr>
        <w:snapToGrid w:val="0"/>
        <w:spacing w:line="360" w:lineRule="exact"/>
        <w:ind w:leftChars="0"/>
        <w:rPr>
          <w:rFonts w:ascii="Microsoft JhengHei" w:hAnsi="Microsoft JhengHei" w:eastAsia="宋体"/>
          <w:b/>
          <w:bCs/>
          <w:sz w:val="28"/>
          <w:szCs w:val="28"/>
          <w:lang w:eastAsia="zh-CN"/>
        </w:rPr>
      </w:pPr>
      <w:r>
        <w:rPr>
          <w:rFonts w:hint="eastAsia" w:ascii="Microsoft JhengHei" w:hAnsi="Microsoft JhengHei" w:eastAsia="Microsoft JhengHei" w:cs="PMingLiU"/>
          <w:b/>
          <w:kern w:val="0"/>
          <w:sz w:val="28"/>
          <w:szCs w:val="28"/>
        </w:rPr>
        <w:t>注意事項</w:t>
      </w:r>
    </w:p>
    <w:p>
      <w:pPr>
        <w:pStyle w:val="9"/>
        <w:numPr>
          <w:ilvl w:val="0"/>
          <w:numId w:val="5"/>
        </w:numPr>
        <w:snapToGrid w:val="0"/>
        <w:spacing w:line="360" w:lineRule="exact"/>
        <w:ind w:leftChars="0"/>
        <w:rPr>
          <w:rFonts w:ascii="Microsoft JhengHei" w:hAnsi="Microsoft JhengHei" w:eastAsia="宋体"/>
          <w:bCs/>
          <w:szCs w:val="24"/>
        </w:rPr>
      </w:pPr>
      <w:r>
        <w:rPr>
          <w:rFonts w:hint="eastAsia" w:ascii="Microsoft JhengHei" w:hAnsi="Microsoft JhengHei" w:eastAsia="Microsoft JhengHei" w:cs="PMingLiU"/>
          <w:kern w:val="0"/>
          <w:szCs w:val="24"/>
        </w:rPr>
        <w:t>同一訂單，不允許修改姓名、日期、航班號，若變更以上資訊須取消後重新預訂；</w:t>
      </w:r>
    </w:p>
    <w:p>
      <w:pPr>
        <w:pStyle w:val="9"/>
        <w:numPr>
          <w:ilvl w:val="0"/>
          <w:numId w:val="5"/>
        </w:numPr>
        <w:snapToGrid w:val="0"/>
        <w:spacing w:line="360" w:lineRule="exact"/>
        <w:ind w:leftChars="0"/>
        <w:rPr>
          <w:rFonts w:ascii="Microsoft JhengHei" w:hAnsi="Microsoft JhengHei" w:eastAsia="宋体"/>
          <w:bCs/>
          <w:szCs w:val="24"/>
        </w:rPr>
      </w:pPr>
      <w:r>
        <w:rPr>
          <w:rFonts w:hint="eastAsia" w:ascii="Microsoft JhengHei" w:hAnsi="Microsoft JhengHei" w:eastAsia="Microsoft JhengHei" w:cs="PMingLiU"/>
          <w:kern w:val="0"/>
          <w:szCs w:val="24"/>
        </w:rPr>
        <w:t>當需要變更或取消航班時，申請人必須提前</w:t>
      </w:r>
      <w:r>
        <w:rPr>
          <w:rFonts w:hint="eastAsia" w:ascii="Microsoft JhengHei" w:hAnsi="Microsoft JhengHei" w:eastAsia="Microsoft JhengHei" w:cs="PMingLiU"/>
          <w:color w:val="FF0000"/>
          <w:kern w:val="0"/>
        </w:rPr>
        <w:t>72小時</w:t>
      </w:r>
      <w:r>
        <w:rPr>
          <w:rFonts w:hint="eastAsia" w:ascii="Microsoft JhengHei" w:hAnsi="Microsoft JhengHei" w:eastAsia="Microsoft JhengHei" w:cs="PMingLiU"/>
          <w:kern w:val="0"/>
          <w:szCs w:val="24"/>
        </w:rPr>
        <w:t>重新向台北呼叫中心傳真提出變更或取消訂單，若未取消而造成NO-SHOW 東航將不接受再次申請。</w:t>
      </w:r>
    </w:p>
    <w:p>
      <w:pPr>
        <w:pStyle w:val="9"/>
        <w:numPr>
          <w:ilvl w:val="0"/>
          <w:numId w:val="5"/>
        </w:numPr>
        <w:snapToGrid w:val="0"/>
        <w:spacing w:line="360" w:lineRule="exact"/>
        <w:ind w:leftChars="0"/>
        <w:rPr>
          <w:rFonts w:ascii="Microsoft JhengHei" w:hAnsi="Microsoft JhengHei" w:eastAsia="宋体"/>
          <w:bCs/>
          <w:szCs w:val="24"/>
        </w:rPr>
      </w:pPr>
      <w:r>
        <w:rPr>
          <w:rFonts w:hint="eastAsia" w:ascii="Microsoft JhengHei" w:hAnsi="Microsoft JhengHei" w:eastAsia="Microsoft JhengHei" w:cs="PMingLiU"/>
          <w:kern w:val="0"/>
          <w:szCs w:val="24"/>
        </w:rPr>
        <w:t>增值服務皆為贈送提供，無退票價值。如預定產品後需在有效期內或預定時間內使用完畢，如未使用完畢，旅客將自行承擔，東航免責。</w:t>
      </w:r>
    </w:p>
    <w:p>
      <w:pPr>
        <w:pStyle w:val="9"/>
        <w:numPr>
          <w:ilvl w:val="0"/>
          <w:numId w:val="5"/>
        </w:numPr>
        <w:snapToGrid w:val="0"/>
        <w:spacing w:line="360" w:lineRule="exact"/>
        <w:ind w:leftChars="0"/>
        <w:rPr>
          <w:rFonts w:ascii="Microsoft JhengHei" w:hAnsi="Microsoft JhengHei" w:eastAsia="宋体"/>
          <w:bCs/>
          <w:szCs w:val="24"/>
        </w:rPr>
      </w:pPr>
      <w:r>
        <w:rPr>
          <w:rFonts w:hint="eastAsia" w:ascii="Microsoft JhengHei" w:hAnsi="Microsoft JhengHei" w:eastAsia="Microsoft JhengHei" w:cs="PMingLiU"/>
          <w:kern w:val="0"/>
          <w:szCs w:val="24"/>
        </w:rPr>
        <w:t>相同的東航電腦代號，每一段行程，僅能申請1項產品1次性使用。</w:t>
      </w:r>
      <w:r>
        <w:rPr>
          <w:rFonts w:ascii="Microsoft JhengHei" w:hAnsi="Microsoft JhengHei" w:eastAsia="Microsoft JhengHei" w:cs="PMingLiU"/>
          <w:kern w:val="0"/>
          <w:szCs w:val="24"/>
        </w:rPr>
        <w:t>E</w:t>
      </w:r>
      <w:r>
        <w:rPr>
          <w:rFonts w:hint="eastAsia" w:ascii="Microsoft JhengHei" w:hAnsi="Microsoft JhengHei" w:eastAsia="Microsoft JhengHei" w:cs="PMingLiU"/>
          <w:kern w:val="0"/>
          <w:szCs w:val="24"/>
        </w:rPr>
        <w:t>x:去程使用鐘點房，去程不能再申請其他增值產品。</w:t>
      </w:r>
    </w:p>
    <w:p>
      <w:pPr>
        <w:pStyle w:val="9"/>
        <w:numPr>
          <w:ilvl w:val="0"/>
          <w:numId w:val="5"/>
        </w:numPr>
        <w:snapToGrid w:val="0"/>
        <w:spacing w:line="360" w:lineRule="exact"/>
        <w:ind w:leftChars="0"/>
        <w:rPr>
          <w:rFonts w:ascii="Microsoft JhengHei" w:hAnsi="Microsoft JhengHei" w:eastAsia="宋体"/>
          <w:bCs/>
          <w:szCs w:val="24"/>
        </w:rPr>
      </w:pPr>
      <w:bookmarkStart w:id="0" w:name="_GoBack"/>
      <w:bookmarkEnd w:id="0"/>
      <w:r>
        <w:rPr>
          <w:rFonts w:hint="eastAsia" w:ascii="Microsoft JhengHei" w:hAnsi="Microsoft JhengHei" w:eastAsia="Microsoft JhengHei" w:cs="PMingLiU"/>
          <w:kern w:val="0"/>
          <w:szCs w:val="24"/>
        </w:rPr>
        <w:t>申請後如遇特殊因素無法提供服務，將退回訂單，最終以服務商可提供為主。</w:t>
      </w:r>
    </w:p>
    <w:p>
      <w:pPr>
        <w:pStyle w:val="9"/>
        <w:numPr>
          <w:ilvl w:val="0"/>
          <w:numId w:val="5"/>
        </w:numPr>
        <w:snapToGrid w:val="0"/>
        <w:spacing w:line="360" w:lineRule="exact"/>
        <w:ind w:leftChars="0"/>
        <w:rPr>
          <w:rFonts w:ascii="Microsoft JhengHei" w:hAnsi="Microsoft JhengHei" w:eastAsia="宋体"/>
          <w:bCs/>
          <w:szCs w:val="24"/>
        </w:rPr>
      </w:pPr>
      <w:r>
        <w:rPr>
          <w:rFonts w:ascii="Microsoft JhengHei" w:hAnsi="Microsoft JhengHei" w:eastAsia="Microsoft JhengHei"/>
          <w:szCs w:val="24"/>
        </w:rPr>
        <w:t>中國東方航空公司保有隨時修訂與詮釋權或終止本銷售條件之權益。</w:t>
      </w:r>
    </w:p>
    <w:p>
      <w:pPr>
        <w:snapToGrid w:val="0"/>
        <w:spacing w:line="360" w:lineRule="exact"/>
        <w:rPr>
          <w:rFonts w:ascii="Microsoft JhengHei" w:hAnsi="Microsoft JhengHei" w:eastAsia="Microsoft JhengHei" w:cs="PMingLiU"/>
          <w:b/>
          <w:color w:val="FF0000"/>
          <w:kern w:val="0"/>
          <w:szCs w:val="24"/>
        </w:rPr>
      </w:pPr>
      <w:r>
        <w:rPr>
          <w:rFonts w:hint="eastAsia" w:ascii="Microsoft JhengHei" w:hAnsi="Microsoft JhengHei" w:eastAsia="Microsoft JhengHei" w:cs="PMingLiU"/>
          <w:kern w:val="0"/>
          <w:szCs w:val="24"/>
        </w:rPr>
        <w:t xml:space="preserve">8)  </w:t>
      </w:r>
      <w:r>
        <w:rPr>
          <w:rFonts w:hint="eastAsia" w:ascii="Microsoft JhengHei" w:hAnsi="Microsoft JhengHei" w:eastAsia="Microsoft JhengHei" w:cs="PMingLiU"/>
          <w:b/>
          <w:color w:val="FF0000"/>
          <w:kern w:val="0"/>
          <w:szCs w:val="24"/>
        </w:rPr>
        <w:t>若增值服務申請完成，旅客因故無法成行請務必聯繫東航呼叫中心取消服務，否則將斟酌收取服務費用。</w:t>
      </w:r>
    </w:p>
    <w:p>
      <w:pPr>
        <w:snapToGrid w:val="0"/>
        <w:spacing w:line="360" w:lineRule="exact"/>
        <w:rPr>
          <w:rFonts w:ascii="Microsoft JhengHei" w:hAnsi="Microsoft JhengHei" w:eastAsia="Microsoft JhengHei" w:cs="PMingLiU"/>
          <w:b/>
          <w:kern w:val="0"/>
          <w:szCs w:val="24"/>
        </w:rPr>
      </w:pPr>
    </w:p>
    <w:p>
      <w:pPr>
        <w:pStyle w:val="9"/>
        <w:numPr>
          <w:ilvl w:val="0"/>
          <w:numId w:val="1"/>
        </w:numPr>
        <w:snapToGrid w:val="0"/>
        <w:spacing w:line="360" w:lineRule="exact"/>
        <w:ind w:leftChars="0"/>
        <w:rPr>
          <w:rFonts w:ascii="Microsoft JhengHei" w:hAnsi="Microsoft JhengHei" w:eastAsia="宋体"/>
          <w:b/>
          <w:bCs/>
          <w:sz w:val="28"/>
          <w:szCs w:val="28"/>
          <w:lang w:eastAsia="zh-CN"/>
        </w:rPr>
      </w:pPr>
      <w:r>
        <w:rPr>
          <w:rFonts w:hint="eastAsia" w:ascii="Microsoft JhengHei" w:hAnsi="Microsoft JhengHei" w:eastAsia="Microsoft JhengHei" w:cs="PMingLiU"/>
          <w:b/>
          <w:kern w:val="0"/>
          <w:sz w:val="28"/>
          <w:szCs w:val="28"/>
        </w:rPr>
        <w:t>不適用</w:t>
      </w:r>
    </w:p>
    <w:p>
      <w:pPr>
        <w:pStyle w:val="9"/>
        <w:numPr>
          <w:ilvl w:val="0"/>
          <w:numId w:val="6"/>
        </w:numPr>
        <w:snapToGrid w:val="0"/>
        <w:spacing w:line="360" w:lineRule="exact"/>
        <w:ind w:leftChars="0"/>
        <w:rPr>
          <w:rFonts w:ascii="Microsoft JhengHei" w:hAnsi="Microsoft JhengHei" w:eastAsia="Microsoft JhengHei"/>
          <w:bCs/>
          <w:szCs w:val="24"/>
        </w:rPr>
      </w:pPr>
      <w:r>
        <w:rPr>
          <w:rFonts w:hint="eastAsia" w:ascii="Microsoft JhengHei" w:hAnsi="Microsoft JhengHei" w:eastAsia="Microsoft JhengHei" w:cs="PMingLiU"/>
          <w:kern w:val="0"/>
        </w:rPr>
        <w:t>公布運價中的代碼共享航班不適用。</w:t>
      </w:r>
    </w:p>
    <w:p>
      <w:pPr>
        <w:pStyle w:val="9"/>
        <w:numPr>
          <w:ilvl w:val="0"/>
          <w:numId w:val="6"/>
        </w:numPr>
        <w:snapToGrid w:val="0"/>
        <w:spacing w:line="360" w:lineRule="exact"/>
        <w:ind w:leftChars="0"/>
        <w:rPr>
          <w:rFonts w:ascii="Microsoft JhengHei" w:hAnsi="Microsoft JhengHei" w:eastAsia="Microsoft JhengHei"/>
          <w:bCs/>
          <w:szCs w:val="24"/>
        </w:rPr>
      </w:pPr>
      <w:r>
        <w:rPr>
          <w:rFonts w:hint="eastAsia" w:ascii="Microsoft JhengHei" w:hAnsi="Microsoft JhengHei" w:eastAsia="Microsoft JhengHei" w:cs="PMingLiU"/>
          <w:kern w:val="0"/>
        </w:rPr>
        <w:t>嬰兒、無成人陪伴兒童不適用。</w:t>
      </w:r>
    </w:p>
    <w:p>
      <w:pPr>
        <w:pStyle w:val="9"/>
        <w:numPr>
          <w:ilvl w:val="0"/>
          <w:numId w:val="6"/>
        </w:numPr>
        <w:snapToGrid w:val="0"/>
        <w:spacing w:line="360" w:lineRule="exact"/>
        <w:ind w:leftChars="0"/>
        <w:rPr>
          <w:rFonts w:ascii="Microsoft JhengHei" w:hAnsi="Microsoft JhengHei" w:eastAsia="Microsoft JhengHei"/>
          <w:bCs/>
          <w:szCs w:val="24"/>
        </w:rPr>
      </w:pPr>
      <w:r>
        <w:rPr>
          <w:rFonts w:hint="eastAsia" w:ascii="Microsoft JhengHei" w:hAnsi="Microsoft JhengHei" w:eastAsia="Microsoft JhengHei" w:cs="PMingLiU"/>
          <w:kern w:val="0"/>
        </w:rPr>
        <w:t>X/O/A 艙不適用。</w:t>
      </w:r>
      <w:r>
        <w:rPr>
          <w:rFonts w:ascii="Microsoft JhengHei" w:hAnsi="Microsoft JhengHei" w:eastAsia="Microsoft JhengHei" w:cs="PMingLiU"/>
          <w:kern w:val="0"/>
        </w:rPr>
        <w:t>(</w:t>
      </w:r>
      <w:r>
        <w:rPr>
          <w:rFonts w:hint="eastAsia" w:ascii="Microsoft JhengHei" w:hAnsi="Microsoft JhengHei" w:eastAsia="Microsoft JhengHei"/>
          <w:color w:val="FF0000"/>
        </w:rPr>
        <w:t>基礎經濟艙Ｚ艙不適用</w:t>
      </w:r>
      <w:r>
        <w:rPr>
          <w:rFonts w:ascii="Microsoft JhengHei" w:hAnsi="Microsoft JhengHei" w:eastAsia="Microsoft JhengHei" w:cs="PMingLiU"/>
          <w:kern w:val="0"/>
        </w:rPr>
        <w:t>)</w:t>
      </w:r>
    </w:p>
    <w:p>
      <w:pPr>
        <w:snapToGrid w:val="0"/>
        <w:spacing w:line="360" w:lineRule="exact"/>
        <w:rPr>
          <w:rFonts w:ascii="Microsoft JhengHei" w:hAnsi="Microsoft JhengHei" w:eastAsia="宋体"/>
          <w:bCs/>
          <w:szCs w:val="24"/>
        </w:rPr>
      </w:pPr>
    </w:p>
    <w:p>
      <w:pPr>
        <w:snapToGrid w:val="0"/>
        <w:spacing w:line="360" w:lineRule="exact"/>
        <w:rPr>
          <w:rFonts w:ascii="Microsoft JhengHei" w:hAnsi="Microsoft JhengHei" w:eastAsia="宋体"/>
          <w:bCs/>
          <w:szCs w:val="24"/>
        </w:rPr>
      </w:pPr>
    </w:p>
    <w:p>
      <w:pPr>
        <w:snapToGrid w:val="0"/>
        <w:rPr>
          <w:rFonts w:ascii="Microsoft JhengHei" w:hAnsi="Microsoft JhengHei" w:eastAsia="Microsoft JhengHei"/>
          <w:b/>
          <w:szCs w:val="24"/>
        </w:rPr>
      </w:pPr>
      <w:r>
        <w:rPr>
          <w:rFonts w:hint="eastAsia" w:ascii="Microsoft JhengHei" w:hAnsi="Microsoft JhengHei" w:eastAsia="Microsoft JhengHei"/>
          <w:b/>
          <w:szCs w:val="24"/>
        </w:rPr>
        <w:t>增值服務產品: 台湾始发經停</w:t>
      </w:r>
      <w:r>
        <w:rPr>
          <w:rFonts w:hint="eastAsia" w:ascii="Microsoft JhengHei" w:hAnsi="Microsoft JhengHei" w:eastAsia="Microsoft JhengHei"/>
          <w:b/>
          <w:color w:val="FF0000"/>
          <w:szCs w:val="24"/>
        </w:rPr>
        <w:t>上海</w:t>
      </w:r>
      <w:r>
        <w:rPr>
          <w:rFonts w:hint="eastAsia" w:ascii="Microsoft JhengHei" w:hAnsi="Microsoft JhengHei" w:eastAsia="Microsoft JhengHei"/>
          <w:b/>
          <w:szCs w:val="24"/>
        </w:rPr>
        <w:t>可提供增值服務產品，</w:t>
      </w:r>
      <w:r>
        <w:rPr>
          <w:rFonts w:hint="eastAsia" w:ascii="Microsoft JhengHei" w:hAnsi="Microsoft JhengHei" w:eastAsia="Microsoft JhengHei"/>
          <w:b/>
          <w:color w:val="FF0000"/>
          <w:szCs w:val="24"/>
        </w:rPr>
        <w:t>國際中轉</w:t>
      </w:r>
      <w:r>
        <w:rPr>
          <w:rFonts w:hint="eastAsia" w:ascii="Microsoft JhengHei" w:hAnsi="Microsoft JhengHei" w:eastAsia="Microsoft JhengHei"/>
          <w:b/>
          <w:szCs w:val="24"/>
        </w:rPr>
        <w:t>單程提供</w:t>
      </w:r>
      <w:r>
        <w:rPr>
          <w:rFonts w:hint="eastAsia" w:ascii="Microsoft JhengHei" w:hAnsi="Microsoft JhengHei" w:eastAsia="Microsoft JhengHei"/>
          <w:b/>
          <w:color w:val="FF0000"/>
          <w:szCs w:val="24"/>
        </w:rPr>
        <w:t>1</w:t>
      </w:r>
      <w:r>
        <w:rPr>
          <w:rFonts w:hint="eastAsia" w:ascii="Microsoft JhengHei" w:hAnsi="Microsoft JhengHei" w:eastAsia="Microsoft JhengHei"/>
          <w:b/>
          <w:szCs w:val="24"/>
        </w:rPr>
        <w:t>次；來回程依票價條件提供</w:t>
      </w:r>
      <w:r>
        <w:rPr>
          <w:rFonts w:hint="eastAsia" w:ascii="Microsoft JhengHei" w:hAnsi="Microsoft JhengHei" w:eastAsia="Microsoft JhengHei"/>
          <w:b/>
          <w:color w:val="FF0000"/>
          <w:szCs w:val="24"/>
        </w:rPr>
        <w:t>2</w:t>
      </w:r>
      <w:r>
        <w:rPr>
          <w:rFonts w:hint="eastAsia" w:ascii="Microsoft JhengHei" w:hAnsi="Microsoft JhengHei" w:eastAsia="Microsoft JhengHei"/>
          <w:b/>
          <w:szCs w:val="24"/>
        </w:rPr>
        <w:t>次服務，或可搭配隔夜中轉住宿；內陸中轉</w:t>
      </w:r>
      <w:r>
        <w:rPr>
          <w:rFonts w:hint="eastAsia" w:ascii="Microsoft JhengHei" w:hAnsi="Microsoft JhengHei" w:eastAsia="Microsoft JhengHei"/>
          <w:b/>
          <w:color w:val="FF0000"/>
          <w:szCs w:val="24"/>
        </w:rPr>
        <w:t>每套行程</w:t>
      </w:r>
      <w:r>
        <w:rPr>
          <w:rFonts w:hint="eastAsia" w:ascii="Microsoft JhengHei" w:hAnsi="Microsoft JhengHei" w:eastAsia="Microsoft JhengHei"/>
          <w:b/>
          <w:szCs w:val="24"/>
        </w:rPr>
        <w:t>提供1次。</w:t>
      </w:r>
    </w:p>
    <w:tbl>
      <w:tblPr>
        <w:tblStyle w:val="5"/>
        <w:tblW w:w="15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477"/>
        <w:gridCol w:w="1701"/>
        <w:gridCol w:w="809"/>
        <w:gridCol w:w="1417"/>
        <w:gridCol w:w="1459"/>
        <w:gridCol w:w="709"/>
        <w:gridCol w:w="1659"/>
        <w:gridCol w:w="3482"/>
        <w:gridCol w:w="95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" w:type="dxa"/>
            <w:noWrap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產品</w:t>
            </w:r>
          </w:p>
        </w:tc>
        <w:tc>
          <w:tcPr>
            <w:tcW w:w="1701" w:type="dxa"/>
            <w:noWrap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國際中轉申請條件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中转时间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直航</w:t>
            </w:r>
          </w:p>
        </w:tc>
        <w:tc>
          <w:tcPr>
            <w:tcW w:w="1459" w:type="dxa"/>
            <w:noWrap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內陸中轉申請條件</w:t>
            </w:r>
          </w:p>
        </w:tc>
        <w:tc>
          <w:tcPr>
            <w:tcW w:w="709" w:type="dxa"/>
            <w:noWrap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中转时间</w:t>
            </w:r>
          </w:p>
        </w:tc>
        <w:tc>
          <w:tcPr>
            <w:tcW w:w="1659" w:type="dxa"/>
            <w:noWrap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領取方式</w:t>
            </w:r>
          </w:p>
        </w:tc>
        <w:tc>
          <w:tcPr>
            <w:tcW w:w="3482" w:type="dxa"/>
            <w:noWrap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使用規則</w:t>
            </w:r>
          </w:p>
        </w:tc>
        <w:tc>
          <w:tcPr>
            <w:tcW w:w="954" w:type="dxa"/>
            <w:noWrap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使用</w:t>
            </w:r>
          </w:p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期限</w:t>
            </w:r>
          </w:p>
        </w:tc>
        <w:tc>
          <w:tcPr>
            <w:tcW w:w="1418" w:type="dxa"/>
            <w:noWrap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503" w:type="dxa"/>
            <w:vMerge w:val="restart"/>
            <w:noWrap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上海</w:t>
            </w:r>
          </w:p>
        </w:tc>
        <w:tc>
          <w:tcPr>
            <w:tcW w:w="1477" w:type="dxa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40元餐劵(人民幣)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淨價不含稅NTD13,500元以下送1項</w:t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br w:type="textWrapping"/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淨價不含稅NTD13,500元（含</w:t>
            </w:r>
            <w:r>
              <w:rPr>
                <w:rFonts w:ascii="Microsoft JhengHei" w:hAnsi="Microsoft JhengHei" w:eastAsia="Microsoft JhengHei"/>
                <w:sz w:val="20"/>
                <w:szCs w:val="20"/>
              </w:rPr>
              <w:t>）</w:t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以上送2項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3小時以上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淨價不含稅</w:t>
            </w:r>
          </w:p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NTD7</w:t>
            </w:r>
            <w:r>
              <w:rPr>
                <w:rFonts w:ascii="Microsoft JhengHei" w:hAnsi="Microsoft JhengHei" w:eastAsia="Microsoft JhengHei"/>
                <w:sz w:val="20"/>
                <w:szCs w:val="20"/>
              </w:rPr>
              <w:t>0</w:t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00元以上(含)</w:t>
            </w:r>
          </w:p>
        </w:tc>
        <w:tc>
          <w:tcPr>
            <w:tcW w:w="1459" w:type="dxa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淨價不含稅NTD5000元以上(含)</w:t>
            </w:r>
          </w:p>
        </w:tc>
        <w:tc>
          <w:tcPr>
            <w:tcW w:w="709" w:type="dxa"/>
            <w:noWrap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3小時以上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憑產品確認單，接機人將在機艙門連接空橋處舉牌接機兌換。若搭接駁車進入機場也會在入口處接應。</w:t>
            </w:r>
            <w:r>
              <w:rPr>
                <w:rFonts w:hint="eastAsia" w:ascii="Microsoft JhengHei" w:hAnsi="Microsoft JhengHei" w:eastAsia="Microsoft JhengHei"/>
                <w:color w:val="FF0000"/>
                <w:sz w:val="20"/>
                <w:szCs w:val="20"/>
              </w:rPr>
              <w:t>實寄以確認單上方式為主。</w:t>
            </w:r>
          </w:p>
        </w:tc>
        <w:tc>
          <w:tcPr>
            <w:tcW w:w="3482" w:type="dxa"/>
            <w:vMerge w:val="restart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餐劵上有提供配合之餐廳可進行兌換。(40元可兌換浦東-星巴克)</w:t>
            </w:r>
          </w:p>
        </w:tc>
        <w:tc>
          <w:tcPr>
            <w:tcW w:w="95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效期內使用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br w:type="textWrapping"/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1.超出金額</w:t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br w:type="textWrapping"/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需自行補貼。</w:t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br w:type="textWrapping"/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br w:type="textWrapping"/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2.商務艙所配合的酒店暫無提供兩機場中轉旅客申請。若旅客能自行前往則不在此限。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80元餐劵(人民幣)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3小時以上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淨價不含稅</w:t>
            </w:r>
          </w:p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NTD9000元以上(含)</w:t>
            </w:r>
          </w:p>
        </w:tc>
        <w:tc>
          <w:tcPr>
            <w:tcW w:w="1459" w:type="dxa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淨價不含稅NTD7000元以上(含)</w:t>
            </w:r>
          </w:p>
        </w:tc>
        <w:tc>
          <w:tcPr>
            <w:tcW w:w="709" w:type="dxa"/>
            <w:noWrap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3小時以上</w:t>
            </w:r>
          </w:p>
        </w:tc>
        <w:tc>
          <w:tcPr>
            <w:tcW w:w="1659" w:type="dxa"/>
            <w:vMerge w:val="continue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</w:p>
        </w:tc>
        <w:tc>
          <w:tcPr>
            <w:tcW w:w="3482" w:type="dxa"/>
            <w:vMerge w:val="continue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磁懸浮列車票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3小時以上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淨價不含稅</w:t>
            </w:r>
          </w:p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NTD7000元以上(含)</w:t>
            </w:r>
          </w:p>
        </w:tc>
        <w:tc>
          <w:tcPr>
            <w:tcW w:w="1459" w:type="dxa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淨價不含稅NTD5000元以上(含)</w:t>
            </w:r>
          </w:p>
        </w:tc>
        <w:tc>
          <w:tcPr>
            <w:tcW w:w="709" w:type="dxa"/>
            <w:noWrap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3小時以上</w:t>
            </w:r>
          </w:p>
        </w:tc>
        <w:tc>
          <w:tcPr>
            <w:tcW w:w="1659" w:type="dxa"/>
            <w:vMerge w:val="continue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單程車票可選去或回程其中一段使用</w:t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br w:type="textWrapping"/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執行時間：</w:t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br w:type="textWrapping"/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浦東機場—龍陽路：07:02-21:42</w:t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br w:type="textWrapping"/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龍陽路—浦東機場：06:45-21:40</w:t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br w:type="textWrapping"/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發車間隔時間：</w:t>
            </w:r>
          </w:p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 xml:space="preserve">         15分鐘（07:02-19:02）</w:t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br w:type="textWrapping"/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 xml:space="preserve">         20分鐘（19:02-21:42）</w:t>
            </w:r>
          </w:p>
        </w:tc>
        <w:tc>
          <w:tcPr>
            <w:tcW w:w="954" w:type="dxa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效期內使用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鐘點房</w:t>
            </w:r>
          </w:p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(限浦東)</w:t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br w:type="textWrapping"/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（6小時以內）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6小時以上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不提供</w:t>
            </w:r>
          </w:p>
        </w:tc>
        <w:tc>
          <w:tcPr>
            <w:tcW w:w="1459" w:type="dxa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淨價不含稅</w:t>
            </w:r>
            <w:r>
              <w:rPr>
                <w:rFonts w:hint="eastAsia" w:ascii="Microsoft JhengHei" w:hAnsi="Microsoft JhengHei" w:eastAsia="Microsoft JhengHei"/>
                <w:color w:val="FF0000"/>
                <w:sz w:val="20"/>
                <w:szCs w:val="20"/>
              </w:rPr>
              <w:t>NTD9000</w:t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元以上(含)</w:t>
            </w:r>
          </w:p>
        </w:tc>
        <w:tc>
          <w:tcPr>
            <w:tcW w:w="709" w:type="dxa"/>
            <w:noWrap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6小時以上</w:t>
            </w:r>
          </w:p>
        </w:tc>
        <w:tc>
          <w:tcPr>
            <w:tcW w:w="1659" w:type="dxa"/>
            <w:vMerge w:val="continue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 xml:space="preserve">1. 服務適用時段: 04：00-14：00期間，可使用6小時其他時段不提供鐘點房服務。 </w:t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br w:type="textWrapping"/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 xml:space="preserve">2. 最晚退房時間為18：00。 </w:t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br w:type="textWrapping"/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3. 房間數量及房型將由中國東方航空安排，無法自行選擇。</w:t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br w:type="textWrapping"/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4. 同電代同行者為兩人安排一間，不提供加床服務，依可提供之飯店選擇，申請者不得選擇飯店。</w:t>
            </w:r>
          </w:p>
        </w:tc>
        <w:tc>
          <w:tcPr>
            <w:tcW w:w="954" w:type="dxa"/>
            <w:noWrap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當日</w:t>
            </w:r>
          </w:p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使用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03" w:type="dxa"/>
            <w:vMerge w:val="restart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西安</w:t>
            </w:r>
          </w:p>
        </w:tc>
        <w:tc>
          <w:tcPr>
            <w:tcW w:w="1477" w:type="dxa"/>
            <w:noWrap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38元餐券(人民幣)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color w:val="FF0000"/>
                <w:sz w:val="20"/>
                <w:szCs w:val="20"/>
              </w:rPr>
              <w:t>3</w:t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小时以上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淨價不含稅</w:t>
            </w:r>
          </w:p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NTD7000元以上(含)</w:t>
            </w:r>
          </w:p>
        </w:tc>
        <w:tc>
          <w:tcPr>
            <w:tcW w:w="1459" w:type="dxa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淨價不含稅NTD5000元以上(含)</w:t>
            </w:r>
          </w:p>
        </w:tc>
        <w:tc>
          <w:tcPr>
            <w:tcW w:w="709" w:type="dxa"/>
            <w:noWrap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color w:val="FF0000"/>
                <w:sz w:val="20"/>
                <w:szCs w:val="20"/>
              </w:rPr>
              <w:t>8</w:t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小时以上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T3航站樓出發廳，東方萬里行櫃檯憑有效證件領取</w:t>
            </w:r>
          </w:p>
        </w:tc>
        <w:tc>
          <w:tcPr>
            <w:tcW w:w="3482" w:type="dxa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餐劵上有提供配合之餐廳可進行兌換。</w:t>
            </w:r>
          </w:p>
        </w:tc>
        <w:tc>
          <w:tcPr>
            <w:tcW w:w="954" w:type="dxa"/>
            <w:noWrap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效期內使用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鐘點房</w:t>
            </w:r>
          </w:p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（6小時以內）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color w:val="FF0000"/>
                <w:sz w:val="20"/>
                <w:szCs w:val="20"/>
              </w:rPr>
              <w:t>8</w:t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小時以上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不提供</w:t>
            </w:r>
          </w:p>
        </w:tc>
        <w:tc>
          <w:tcPr>
            <w:tcW w:w="1459" w:type="dxa"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不提供</w:t>
            </w:r>
          </w:p>
        </w:tc>
        <w:tc>
          <w:tcPr>
            <w:tcW w:w="709" w:type="dxa"/>
            <w:noWrap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1. 08：00-18：00之間任意6小時鐘點房：含專人接送機</w:t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br w:type="textWrapping"/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2. 房間數量及房型將由中國東方航空安排，無法自行選擇。</w:t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br w:type="textWrapping"/>
            </w: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3. 同電代同行者為兩人安排一間，不提供加床服務，依可提供之飯店選擇，申請者不得選擇飯店。</w:t>
            </w:r>
          </w:p>
        </w:tc>
        <w:tc>
          <w:tcPr>
            <w:tcW w:w="954" w:type="dxa"/>
            <w:noWrap/>
            <w:vAlign w:val="center"/>
          </w:tcPr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當日</w:t>
            </w:r>
          </w:p>
          <w:p>
            <w:pPr>
              <w:snapToGrid w:val="0"/>
              <w:jc w:val="center"/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/>
                <w:sz w:val="20"/>
                <w:szCs w:val="20"/>
              </w:rPr>
              <w:t>使用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rPr>
                <w:rFonts w:ascii="Microsoft JhengHei" w:hAnsi="Microsoft JhengHei" w:eastAsia="Microsoft JhengHei"/>
                <w:sz w:val="20"/>
                <w:szCs w:val="20"/>
              </w:rPr>
            </w:pPr>
          </w:p>
        </w:tc>
      </w:tr>
    </w:tbl>
    <w:p>
      <w:pPr>
        <w:snapToGrid w:val="0"/>
        <w:rPr>
          <w:rFonts w:ascii="Microsoft JhengHei" w:hAnsi="Microsoft JhengHei" w:eastAsia="Microsoft JhengHei"/>
          <w:szCs w:val="24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E00"/>
    <w:multiLevelType w:val="multilevel"/>
    <w:tmpl w:val="00975E00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E13E30"/>
    <w:multiLevelType w:val="multilevel"/>
    <w:tmpl w:val="39E13E3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CD2F31"/>
    <w:multiLevelType w:val="multilevel"/>
    <w:tmpl w:val="4BCD2F31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5C619D5"/>
    <w:multiLevelType w:val="multilevel"/>
    <w:tmpl w:val="65C619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bullet"/>
      <w:lvlText w:val=""/>
      <w:lvlJc w:val="left"/>
      <w:pPr>
        <w:ind w:left="1200" w:hanging="360"/>
      </w:pPr>
      <w:rPr>
        <w:rFonts w:hint="default" w:ascii="Wingdings" w:hAnsi="Wingdings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A45866"/>
    <w:multiLevelType w:val="multilevel"/>
    <w:tmpl w:val="79A45866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2F2E5C"/>
    <w:multiLevelType w:val="multilevel"/>
    <w:tmpl w:val="7A2F2E5C"/>
    <w:lvl w:ilvl="0" w:tentative="0">
      <w:start w:val="1"/>
      <w:numFmt w:val="decimal"/>
      <w:lvlText w:val="%1)"/>
      <w:lvlJc w:val="left"/>
      <w:pPr>
        <w:ind w:left="42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D7"/>
    <w:rsid w:val="00001ED1"/>
    <w:rsid w:val="00002971"/>
    <w:rsid w:val="00007963"/>
    <w:rsid w:val="000130E9"/>
    <w:rsid w:val="000137F8"/>
    <w:rsid w:val="00014311"/>
    <w:rsid w:val="00017D1A"/>
    <w:rsid w:val="000419D9"/>
    <w:rsid w:val="0005108D"/>
    <w:rsid w:val="00081EAF"/>
    <w:rsid w:val="000A5756"/>
    <w:rsid w:val="000C0938"/>
    <w:rsid w:val="000E249B"/>
    <w:rsid w:val="0010440B"/>
    <w:rsid w:val="00106EAF"/>
    <w:rsid w:val="00124767"/>
    <w:rsid w:val="0013512E"/>
    <w:rsid w:val="001356A5"/>
    <w:rsid w:val="00144381"/>
    <w:rsid w:val="00195E7E"/>
    <w:rsid w:val="001C7939"/>
    <w:rsid w:val="001E7523"/>
    <w:rsid w:val="002313D7"/>
    <w:rsid w:val="00232259"/>
    <w:rsid w:val="002434F9"/>
    <w:rsid w:val="0025116C"/>
    <w:rsid w:val="00263D16"/>
    <w:rsid w:val="002767BD"/>
    <w:rsid w:val="00281D43"/>
    <w:rsid w:val="00284568"/>
    <w:rsid w:val="00290C87"/>
    <w:rsid w:val="0029203D"/>
    <w:rsid w:val="00295100"/>
    <w:rsid w:val="002F1E37"/>
    <w:rsid w:val="00300D52"/>
    <w:rsid w:val="00301C03"/>
    <w:rsid w:val="00301C28"/>
    <w:rsid w:val="00320B27"/>
    <w:rsid w:val="00320F26"/>
    <w:rsid w:val="00334D8E"/>
    <w:rsid w:val="003354DF"/>
    <w:rsid w:val="003410A7"/>
    <w:rsid w:val="00344AF5"/>
    <w:rsid w:val="0034736E"/>
    <w:rsid w:val="003538A4"/>
    <w:rsid w:val="00385BD2"/>
    <w:rsid w:val="0039173E"/>
    <w:rsid w:val="0039665A"/>
    <w:rsid w:val="003A7D07"/>
    <w:rsid w:val="003C75EA"/>
    <w:rsid w:val="004214C8"/>
    <w:rsid w:val="004216C4"/>
    <w:rsid w:val="00424A7B"/>
    <w:rsid w:val="00426BCB"/>
    <w:rsid w:val="00432B99"/>
    <w:rsid w:val="00442973"/>
    <w:rsid w:val="00452F0A"/>
    <w:rsid w:val="00455261"/>
    <w:rsid w:val="00476C74"/>
    <w:rsid w:val="004854F0"/>
    <w:rsid w:val="00485AC6"/>
    <w:rsid w:val="004A3B4A"/>
    <w:rsid w:val="004C51EC"/>
    <w:rsid w:val="004C6CBA"/>
    <w:rsid w:val="004E4DA3"/>
    <w:rsid w:val="00514A77"/>
    <w:rsid w:val="00525BBA"/>
    <w:rsid w:val="005268B7"/>
    <w:rsid w:val="00534C66"/>
    <w:rsid w:val="00540013"/>
    <w:rsid w:val="00541562"/>
    <w:rsid w:val="00565205"/>
    <w:rsid w:val="00574AA0"/>
    <w:rsid w:val="00590882"/>
    <w:rsid w:val="00590F87"/>
    <w:rsid w:val="005B18BD"/>
    <w:rsid w:val="005C1B84"/>
    <w:rsid w:val="005E0FEF"/>
    <w:rsid w:val="005E25C8"/>
    <w:rsid w:val="005E281C"/>
    <w:rsid w:val="00611BF8"/>
    <w:rsid w:val="00627C07"/>
    <w:rsid w:val="00634072"/>
    <w:rsid w:val="006508F1"/>
    <w:rsid w:val="006510E4"/>
    <w:rsid w:val="006A487B"/>
    <w:rsid w:val="006C592F"/>
    <w:rsid w:val="006C6255"/>
    <w:rsid w:val="006D418F"/>
    <w:rsid w:val="006E0674"/>
    <w:rsid w:val="006E2F62"/>
    <w:rsid w:val="007141B0"/>
    <w:rsid w:val="007326B2"/>
    <w:rsid w:val="00732C83"/>
    <w:rsid w:val="007460DD"/>
    <w:rsid w:val="00774CFC"/>
    <w:rsid w:val="00784829"/>
    <w:rsid w:val="00786ABE"/>
    <w:rsid w:val="00797DB2"/>
    <w:rsid w:val="007B7FFB"/>
    <w:rsid w:val="007C3D4F"/>
    <w:rsid w:val="007D59F1"/>
    <w:rsid w:val="007D5CF2"/>
    <w:rsid w:val="007E52F4"/>
    <w:rsid w:val="00800297"/>
    <w:rsid w:val="008327FF"/>
    <w:rsid w:val="00844C42"/>
    <w:rsid w:val="00860521"/>
    <w:rsid w:val="00872F01"/>
    <w:rsid w:val="008746C0"/>
    <w:rsid w:val="00880397"/>
    <w:rsid w:val="00883606"/>
    <w:rsid w:val="00883646"/>
    <w:rsid w:val="008A3A84"/>
    <w:rsid w:val="008A7A0F"/>
    <w:rsid w:val="008B39A9"/>
    <w:rsid w:val="008D0D23"/>
    <w:rsid w:val="008D7839"/>
    <w:rsid w:val="008E1B73"/>
    <w:rsid w:val="00921420"/>
    <w:rsid w:val="009344DB"/>
    <w:rsid w:val="00936DE1"/>
    <w:rsid w:val="009510A8"/>
    <w:rsid w:val="00951795"/>
    <w:rsid w:val="009571B5"/>
    <w:rsid w:val="00957DA9"/>
    <w:rsid w:val="0096285A"/>
    <w:rsid w:val="00977409"/>
    <w:rsid w:val="0098609B"/>
    <w:rsid w:val="00994AA4"/>
    <w:rsid w:val="009A79F5"/>
    <w:rsid w:val="009A7F7D"/>
    <w:rsid w:val="009B0FF0"/>
    <w:rsid w:val="009E43DF"/>
    <w:rsid w:val="00A0143B"/>
    <w:rsid w:val="00A33A1D"/>
    <w:rsid w:val="00A34462"/>
    <w:rsid w:val="00A359F8"/>
    <w:rsid w:val="00A373C9"/>
    <w:rsid w:val="00A43892"/>
    <w:rsid w:val="00A52543"/>
    <w:rsid w:val="00A5650A"/>
    <w:rsid w:val="00A618CA"/>
    <w:rsid w:val="00A873DC"/>
    <w:rsid w:val="00A9101C"/>
    <w:rsid w:val="00A97E64"/>
    <w:rsid w:val="00AA48BE"/>
    <w:rsid w:val="00AB07C8"/>
    <w:rsid w:val="00AB3171"/>
    <w:rsid w:val="00AC3409"/>
    <w:rsid w:val="00AF063E"/>
    <w:rsid w:val="00AF3BCB"/>
    <w:rsid w:val="00B04B7A"/>
    <w:rsid w:val="00B06DDE"/>
    <w:rsid w:val="00B10025"/>
    <w:rsid w:val="00B31B8A"/>
    <w:rsid w:val="00B3466D"/>
    <w:rsid w:val="00B47E45"/>
    <w:rsid w:val="00B576C6"/>
    <w:rsid w:val="00B6040B"/>
    <w:rsid w:val="00B91F8B"/>
    <w:rsid w:val="00BB0496"/>
    <w:rsid w:val="00BB2161"/>
    <w:rsid w:val="00BD4DA9"/>
    <w:rsid w:val="00BE33D0"/>
    <w:rsid w:val="00BE5002"/>
    <w:rsid w:val="00C02954"/>
    <w:rsid w:val="00C11279"/>
    <w:rsid w:val="00C41D0A"/>
    <w:rsid w:val="00C5476E"/>
    <w:rsid w:val="00C54B4E"/>
    <w:rsid w:val="00CA218E"/>
    <w:rsid w:val="00CC0D6A"/>
    <w:rsid w:val="00CC5E0B"/>
    <w:rsid w:val="00CD2476"/>
    <w:rsid w:val="00CF58EB"/>
    <w:rsid w:val="00D05CFF"/>
    <w:rsid w:val="00D06DA3"/>
    <w:rsid w:val="00D109D7"/>
    <w:rsid w:val="00D11B80"/>
    <w:rsid w:val="00D153D5"/>
    <w:rsid w:val="00D20D99"/>
    <w:rsid w:val="00D23268"/>
    <w:rsid w:val="00D24AF4"/>
    <w:rsid w:val="00D30539"/>
    <w:rsid w:val="00D31407"/>
    <w:rsid w:val="00D93D7D"/>
    <w:rsid w:val="00DA7CA8"/>
    <w:rsid w:val="00DC3A3F"/>
    <w:rsid w:val="00DC7DA9"/>
    <w:rsid w:val="00DD3C81"/>
    <w:rsid w:val="00DE0F7C"/>
    <w:rsid w:val="00DE15F1"/>
    <w:rsid w:val="00E078E0"/>
    <w:rsid w:val="00E33133"/>
    <w:rsid w:val="00E63EE8"/>
    <w:rsid w:val="00E927F9"/>
    <w:rsid w:val="00E9662A"/>
    <w:rsid w:val="00E96843"/>
    <w:rsid w:val="00EB06F9"/>
    <w:rsid w:val="00EC3045"/>
    <w:rsid w:val="00EE07A8"/>
    <w:rsid w:val="00EE774D"/>
    <w:rsid w:val="00F03302"/>
    <w:rsid w:val="00F12AFF"/>
    <w:rsid w:val="00F21FCF"/>
    <w:rsid w:val="00F23D81"/>
    <w:rsid w:val="00F25DF8"/>
    <w:rsid w:val="00F42C4E"/>
    <w:rsid w:val="00F447F9"/>
    <w:rsid w:val="00F4748A"/>
    <w:rsid w:val="00F53E72"/>
    <w:rsid w:val="00F65A61"/>
    <w:rsid w:val="00F75956"/>
    <w:rsid w:val="00F91E86"/>
    <w:rsid w:val="00F94A1C"/>
    <w:rsid w:val="00F97305"/>
    <w:rsid w:val="00FA136A"/>
    <w:rsid w:val="00FB720D"/>
    <w:rsid w:val="00FC140B"/>
    <w:rsid w:val="00FC1CBD"/>
    <w:rsid w:val="00FC34F7"/>
    <w:rsid w:val="00FC73BD"/>
    <w:rsid w:val="00FD7D15"/>
    <w:rsid w:val="00FE00C5"/>
    <w:rsid w:val="0CDA20F4"/>
    <w:rsid w:val="1142415D"/>
    <w:rsid w:val="189A03BD"/>
    <w:rsid w:val="1E636AE4"/>
    <w:rsid w:val="23C3287B"/>
    <w:rsid w:val="40303155"/>
    <w:rsid w:val="6A401B38"/>
    <w:rsid w:val="6D5F3967"/>
    <w:rsid w:val="7515640F"/>
    <w:rsid w:val="7C4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頁首 字元"/>
    <w:basedOn w:val="6"/>
    <w:link w:val="3"/>
    <w:uiPriority w:val="99"/>
    <w:rPr>
      <w:rFonts w:ascii="Calibri" w:hAnsi="Calibri" w:eastAsia="PMingLiU" w:cs="Times New Roman"/>
      <w:sz w:val="20"/>
      <w:szCs w:val="20"/>
    </w:rPr>
  </w:style>
  <w:style w:type="character" w:customStyle="1" w:styleId="8">
    <w:name w:val="頁尾 字元"/>
    <w:basedOn w:val="6"/>
    <w:link w:val="2"/>
    <w:uiPriority w:val="99"/>
    <w:rPr>
      <w:rFonts w:ascii="Calibri" w:hAnsi="Calibri" w:eastAsia="PMingLiU" w:cs="Times New Roman"/>
      <w:sz w:val="20"/>
      <w:szCs w:val="20"/>
    </w:rPr>
  </w:style>
  <w:style w:type="paragraph" w:styleId="9">
    <w:name w:val="List Paragraph"/>
    <w:basedOn w:val="1"/>
    <w:qFormat/>
    <w:uiPriority w:val="34"/>
    <w:pPr>
      <w:ind w:left="480" w:leftChars="200"/>
    </w:pPr>
  </w:style>
  <w:style w:type="paragraph" w:customStyle="1" w:styleId="10">
    <w:name w:val="列出段落1"/>
    <w:basedOn w:val="1"/>
    <w:qFormat/>
    <w:uiPriority w:val="0"/>
    <w:pPr>
      <w:ind w:firstLine="420" w:firstLineChars="200"/>
      <w:jc w:val="both"/>
    </w:pPr>
    <w:rPr>
      <w:rFonts w:ascii="Times New Roman" w:hAnsi="Times New Roman" w:eastAsia="宋体"/>
      <w:sz w:val="21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74BECC-4904-4E60-96BD-E98EB7A810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306</Words>
  <Characters>1749</Characters>
  <Lines>14</Lines>
  <Paragraphs>4</Paragraphs>
  <TotalTime>16</TotalTime>
  <ScaleCrop>false</ScaleCrop>
  <LinksUpToDate>false</LinksUpToDate>
  <CharactersWithSpaces>2051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2020-02-26T05:13:00Z</dcterms:created>
  <dc:creator>user</dc:creator>
  <cp:lastModifiedBy>机器猫998</cp:lastModifiedBy>
  <dcterms:modified xsi:type="dcterms:W3CDTF">2020-03-30T14:42:31Z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